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DF6" w:rsidRDefault="00143DF6" w:rsidP="00143DF6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Tahoma" w:eastAsia="Times New Roman" w:hAnsi="Tahoma" w:cs="Tahoma"/>
          <w:bCs/>
          <w:sz w:val="18"/>
          <w:szCs w:val="18"/>
          <w:lang w:eastAsia="es-ES"/>
        </w:rPr>
      </w:pPr>
      <w:bookmarkStart w:id="0" w:name="_GoBack"/>
      <w:bookmarkEnd w:id="0"/>
      <w:r>
        <w:rPr>
          <w:rFonts w:ascii="Tahoma" w:eastAsia="Times New Roman" w:hAnsi="Tahoma" w:cs="Tahoma"/>
          <w:b/>
          <w:bCs/>
          <w:color w:val="0070C0"/>
          <w:sz w:val="18"/>
          <w:szCs w:val="18"/>
          <w:lang w:eastAsia="es-ES"/>
        </w:rPr>
        <w:t xml:space="preserve">Resolución </w:t>
      </w:r>
      <w:hyperlink r:id="rId6" w:history="1">
        <w:r w:rsidRPr="000120C9">
          <w:rPr>
            <w:rFonts w:ascii="Tahoma" w:eastAsia="Times New Roman" w:hAnsi="Tahoma" w:cs="Tahoma"/>
            <w:b/>
            <w:bCs/>
            <w:color w:val="0070C0"/>
            <w:sz w:val="18"/>
            <w:szCs w:val="18"/>
            <w:lang w:eastAsia="es-ES"/>
          </w:rPr>
          <w:t>NAC-DGERCGC16-00000114</w:t>
        </w:r>
      </w:hyperlink>
      <w:r w:rsidRPr="000120C9">
        <w:rPr>
          <w:rFonts w:ascii="Tahoma" w:eastAsia="Times New Roman" w:hAnsi="Tahoma" w:cs="Tahoma"/>
          <w:b/>
          <w:bCs/>
          <w:color w:val="0070C0"/>
          <w:sz w:val="18"/>
          <w:szCs w:val="18"/>
          <w:lang w:eastAsia="es-ES"/>
        </w:rPr>
        <w:t xml:space="preserve">: </w:t>
      </w:r>
      <w:r w:rsidRPr="000120C9">
        <w:rPr>
          <w:rFonts w:ascii="Tahoma" w:eastAsia="Times New Roman" w:hAnsi="Tahoma" w:cs="Tahoma"/>
          <w:bCs/>
          <w:sz w:val="18"/>
          <w:szCs w:val="18"/>
          <w:lang w:eastAsia="es-ES"/>
        </w:rPr>
        <w:t>Refórmense casilleros del formulario 101 para la declaración del Impuesto a la Renta y presentación de estados financieros de sociedades y establecimientos permanentes</w:t>
      </w:r>
      <w:r>
        <w:rPr>
          <w:rFonts w:ascii="Tahoma" w:eastAsia="Times New Roman" w:hAnsi="Tahoma" w:cs="Tahoma"/>
          <w:bCs/>
          <w:sz w:val="18"/>
          <w:szCs w:val="18"/>
          <w:lang w:eastAsia="es-ES"/>
        </w:rPr>
        <w:t>.</w:t>
      </w:r>
    </w:p>
    <w:p w:rsidR="00143DF6" w:rsidRDefault="00143DF6" w:rsidP="00143DF6">
      <w:pPr>
        <w:pStyle w:val="Prrafodelista"/>
        <w:spacing w:after="0" w:line="240" w:lineRule="auto"/>
        <w:jc w:val="both"/>
        <w:rPr>
          <w:rFonts w:ascii="Tahoma" w:eastAsia="Times New Roman" w:hAnsi="Tahoma" w:cs="Tahoma"/>
          <w:b/>
          <w:bCs/>
          <w:color w:val="0070C0"/>
          <w:sz w:val="18"/>
          <w:szCs w:val="18"/>
          <w:lang w:eastAsia="es-ES"/>
        </w:rPr>
      </w:pPr>
    </w:p>
    <w:p w:rsidR="00143DF6" w:rsidRPr="000120C9" w:rsidRDefault="00143DF6" w:rsidP="00143DF6">
      <w:pPr>
        <w:pStyle w:val="Prrafodelista"/>
        <w:spacing w:after="0" w:line="240" w:lineRule="auto"/>
        <w:jc w:val="both"/>
        <w:rPr>
          <w:rFonts w:ascii="Tahoma" w:eastAsia="Times New Roman" w:hAnsi="Tahoma" w:cs="Tahoma"/>
          <w:bCs/>
          <w:sz w:val="18"/>
          <w:szCs w:val="18"/>
          <w:lang w:eastAsia="es-ES"/>
        </w:rPr>
      </w:pPr>
      <w:r w:rsidRPr="000120C9">
        <w:rPr>
          <w:rFonts w:ascii="Tahoma" w:eastAsia="Times New Roman" w:hAnsi="Tahoma" w:cs="Tahoma"/>
          <w:bCs/>
          <w:sz w:val="18"/>
          <w:szCs w:val="18"/>
          <w:lang w:eastAsia="es-ES"/>
        </w:rPr>
        <w:t> </w:t>
      </w:r>
    </w:p>
    <w:p w:rsidR="00143DF6" w:rsidRPr="000120C9" w:rsidRDefault="00143DF6" w:rsidP="00143DF6">
      <w:pPr>
        <w:pStyle w:val="Prrafodelista"/>
        <w:numPr>
          <w:ilvl w:val="0"/>
          <w:numId w:val="1"/>
        </w:numPr>
        <w:spacing w:after="0" w:line="240" w:lineRule="auto"/>
        <w:jc w:val="both"/>
        <w:rPr>
          <w:rFonts w:ascii="Tahoma" w:eastAsia="Times New Roman" w:hAnsi="Tahoma" w:cs="Tahoma"/>
          <w:b/>
          <w:bCs/>
          <w:color w:val="0070C0"/>
          <w:sz w:val="18"/>
          <w:szCs w:val="18"/>
          <w:lang w:eastAsia="es-ES"/>
        </w:rPr>
        <w:sectPr w:rsidR="00143DF6" w:rsidRPr="000120C9" w:rsidSect="00143DF6">
          <w:headerReference w:type="default" r:id="rId7"/>
          <w:footerReference w:type="default" r:id="rId8"/>
          <w:pgSz w:w="11906" w:h="16838"/>
          <w:pgMar w:top="1134" w:right="849" w:bottom="567" w:left="1276" w:header="708" w:footer="563" w:gutter="0"/>
          <w:cols w:space="425"/>
          <w:docGrid w:linePitch="360"/>
        </w:sectPr>
      </w:pPr>
    </w:p>
    <w:p w:rsidR="00143DF6" w:rsidRPr="000120C9" w:rsidRDefault="00143DF6" w:rsidP="00143DF6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000000"/>
          <w:sz w:val="14"/>
          <w:szCs w:val="14"/>
          <w:lang w:eastAsia="es-ES"/>
        </w:rPr>
      </w:pPr>
      <w:r w:rsidRPr="000120C9">
        <w:rPr>
          <w:rFonts w:ascii="Tahoma" w:eastAsia="Times New Roman" w:hAnsi="Tahoma" w:cs="Tahoma"/>
          <w:b/>
          <w:bCs/>
          <w:color w:val="000000"/>
          <w:sz w:val="14"/>
          <w:szCs w:val="14"/>
          <w:lang w:eastAsia="es-ES"/>
        </w:rPr>
        <w:lastRenderedPageBreak/>
        <w:t>Resuelve: </w:t>
      </w:r>
    </w:p>
    <w:p w:rsidR="00143DF6" w:rsidRDefault="00143DF6" w:rsidP="00143DF6">
      <w:pPr>
        <w:spacing w:after="0" w:line="240" w:lineRule="auto"/>
        <w:jc w:val="both"/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</w:pPr>
      <w:r w:rsidRPr="000120C9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0120C9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Reformar casilleros del formulario 101</w:t>
      </w:r>
      <w:r w:rsidRPr="000120C9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 </w:t>
      </w:r>
      <w:r w:rsidRPr="000120C9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para la declaración del Impuesto a la Renta y presentación de estados financieros de sociedades y</w:t>
      </w:r>
      <w:r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 xml:space="preserve"> </w:t>
      </w:r>
      <w:r w:rsidRPr="000120C9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establecimientos permanentes</w:t>
      </w:r>
      <w:r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.</w:t>
      </w:r>
    </w:p>
    <w:p w:rsidR="00143DF6" w:rsidRDefault="00143DF6" w:rsidP="00143DF6">
      <w:pPr>
        <w:spacing w:after="0" w:line="240" w:lineRule="auto"/>
        <w:jc w:val="both"/>
        <w:rPr>
          <w:rFonts w:ascii="Tahoma" w:eastAsia="Times New Roman" w:hAnsi="Tahoma" w:cs="Tahoma"/>
          <w:i/>
          <w:iCs/>
          <w:color w:val="000000"/>
          <w:sz w:val="14"/>
          <w:szCs w:val="14"/>
          <w:shd w:val="clear" w:color="auto" w:fill="FFFFFF"/>
          <w:lang w:eastAsia="es-ES"/>
        </w:rPr>
      </w:pPr>
      <w:r w:rsidRPr="000120C9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0120C9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DISPOSICIÓN REFORMATORIA ÚNICA- </w:t>
      </w:r>
      <w:r w:rsidRPr="000120C9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En el "Formulario 101 para la declaración del Impuesto a la Renta y presentación de estados financieros de sociedades y establecimientos permanentes", anexo a la Resolución No. NAC-DGERCGC15-00003211 publicada en el Suplemento del Registro Oficial No.660 de 31 de diciembre de 2015 efectúese los siguientes cambios:</w:t>
      </w:r>
      <w:r w:rsidRPr="000120C9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0120C9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0120C9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1. En los casilleros 7113 y 7114 sustitúyase la frase </w:t>
      </w:r>
      <w:r w:rsidRPr="000120C9">
        <w:rPr>
          <w:rFonts w:ascii="Tahoma" w:eastAsia="Times New Roman" w:hAnsi="Tahoma" w:cs="Tahoma"/>
          <w:i/>
          <w:iCs/>
          <w:color w:val="000000"/>
          <w:sz w:val="14"/>
          <w:szCs w:val="14"/>
          <w:shd w:val="clear" w:color="auto" w:fill="FFFFFF"/>
          <w:lang w:eastAsia="es-ES"/>
        </w:rPr>
        <w:t>"DE ACTIVOS FINANCIEROS (REVERSIÓN DE PROVISIONES RARA CRÉDITOS INCOBRABLES)" </w:t>
      </w:r>
      <w:r w:rsidRPr="000120C9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por </w:t>
      </w:r>
      <w:r w:rsidRPr="000120C9">
        <w:rPr>
          <w:rFonts w:ascii="Tahoma" w:eastAsia="Times New Roman" w:hAnsi="Tahoma" w:cs="Tahoma"/>
          <w:i/>
          <w:iCs/>
          <w:color w:val="000000"/>
          <w:sz w:val="14"/>
          <w:szCs w:val="14"/>
          <w:shd w:val="clear" w:color="auto" w:fill="FFFFFF"/>
          <w:lang w:eastAsia="es-ES"/>
        </w:rPr>
        <w:t>"DE ACTIVOS FINANCIEROS (PROVISIONES PARA CRÉDITOS INCOBRABLES) ".</w:t>
      </w:r>
    </w:p>
    <w:p w:rsidR="00143DF6" w:rsidRDefault="00143DF6" w:rsidP="00143DF6">
      <w:pPr>
        <w:spacing w:after="0" w:line="240" w:lineRule="auto"/>
        <w:jc w:val="both"/>
        <w:rPr>
          <w:rFonts w:ascii="Tahoma" w:eastAsia="Times New Roman" w:hAnsi="Tahoma" w:cs="Tahoma"/>
          <w:i/>
          <w:iCs/>
          <w:color w:val="000000"/>
          <w:sz w:val="14"/>
          <w:szCs w:val="14"/>
          <w:shd w:val="clear" w:color="auto" w:fill="FFFFFF"/>
          <w:lang w:eastAsia="es-ES"/>
        </w:rPr>
      </w:pPr>
      <w:r w:rsidRPr="000120C9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0120C9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2. En el título que abarca los casilleros 6095 al 6134, sustitúyase la frase </w:t>
      </w:r>
      <w:r w:rsidRPr="000120C9">
        <w:rPr>
          <w:rFonts w:ascii="Tahoma" w:eastAsia="Times New Roman" w:hAnsi="Tahoma" w:cs="Tahoma"/>
          <w:i/>
          <w:iCs/>
          <w:color w:val="000000"/>
          <w:sz w:val="14"/>
          <w:szCs w:val="14"/>
          <w:shd w:val="clear" w:color="auto" w:fill="FFFFFF"/>
          <w:lang w:eastAsia="es-ES"/>
        </w:rPr>
        <w:t>"INGRESOS NO OPERACIONALES" </w:t>
      </w:r>
      <w:r w:rsidRPr="000120C9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por </w:t>
      </w:r>
      <w:r w:rsidRPr="000120C9">
        <w:rPr>
          <w:rFonts w:ascii="Tahoma" w:eastAsia="Times New Roman" w:hAnsi="Tahoma" w:cs="Tahoma"/>
          <w:i/>
          <w:iCs/>
          <w:color w:val="000000"/>
          <w:sz w:val="14"/>
          <w:szCs w:val="14"/>
          <w:shd w:val="clear" w:color="auto" w:fill="FFFFFF"/>
          <w:lang w:eastAsia="es-ES"/>
        </w:rPr>
        <w:t xml:space="preserve">"INGRESOS FINANCIEROS Y OTROS NO </w:t>
      </w:r>
      <w:proofErr w:type="gramStart"/>
      <w:r w:rsidRPr="000120C9">
        <w:rPr>
          <w:rFonts w:ascii="Tahoma" w:eastAsia="Times New Roman" w:hAnsi="Tahoma" w:cs="Tahoma"/>
          <w:i/>
          <w:iCs/>
          <w:color w:val="000000"/>
          <w:sz w:val="14"/>
          <w:szCs w:val="14"/>
          <w:shd w:val="clear" w:color="auto" w:fill="FFFFFF"/>
          <w:lang w:eastAsia="es-ES"/>
        </w:rPr>
        <w:t>OPERACIONALES "</w:t>
      </w:r>
      <w:proofErr w:type="gramEnd"/>
      <w:r w:rsidRPr="000120C9">
        <w:rPr>
          <w:rFonts w:ascii="Tahoma" w:eastAsia="Times New Roman" w:hAnsi="Tahoma" w:cs="Tahoma"/>
          <w:i/>
          <w:iCs/>
          <w:color w:val="000000"/>
          <w:sz w:val="14"/>
          <w:szCs w:val="14"/>
          <w:shd w:val="clear" w:color="auto" w:fill="FFFFFF"/>
          <w:lang w:eastAsia="es-ES"/>
        </w:rPr>
        <w:t>.</w:t>
      </w:r>
    </w:p>
    <w:p w:rsidR="00143DF6" w:rsidRDefault="00143DF6" w:rsidP="00143DF6">
      <w:pPr>
        <w:spacing w:after="0" w:line="240" w:lineRule="auto"/>
        <w:jc w:val="both"/>
        <w:rPr>
          <w:rFonts w:ascii="Tahoma" w:eastAsia="Times New Roman" w:hAnsi="Tahoma" w:cs="Tahoma"/>
          <w:i/>
          <w:iCs/>
          <w:color w:val="000000"/>
          <w:sz w:val="14"/>
          <w:szCs w:val="14"/>
          <w:shd w:val="clear" w:color="auto" w:fill="FFFFFF"/>
          <w:lang w:eastAsia="es-ES"/>
        </w:rPr>
      </w:pPr>
      <w:r w:rsidRPr="000120C9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0120C9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3. En el título que abarca los casilleros 7251 al 7312, sustitúyase la frase </w:t>
      </w:r>
      <w:r w:rsidRPr="000120C9">
        <w:rPr>
          <w:rFonts w:ascii="Tahoma" w:eastAsia="Times New Roman" w:hAnsi="Tahoma" w:cs="Tahoma"/>
          <w:i/>
          <w:iCs/>
          <w:color w:val="000000"/>
          <w:sz w:val="14"/>
          <w:szCs w:val="14"/>
          <w:shd w:val="clear" w:color="auto" w:fill="FFFFFF"/>
          <w:lang w:eastAsia="es-ES"/>
        </w:rPr>
        <w:t>"GASTOS NO OPERACIONALES" </w:t>
      </w:r>
      <w:r w:rsidRPr="000120C9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por </w:t>
      </w:r>
      <w:r w:rsidRPr="000120C9">
        <w:rPr>
          <w:rFonts w:ascii="Tahoma" w:eastAsia="Times New Roman" w:hAnsi="Tahoma" w:cs="Tahoma"/>
          <w:i/>
          <w:iCs/>
          <w:color w:val="000000"/>
          <w:sz w:val="14"/>
          <w:szCs w:val="14"/>
          <w:shd w:val="clear" w:color="auto" w:fill="FFFFFF"/>
          <w:lang w:eastAsia="es-ES"/>
        </w:rPr>
        <w:t>"GASTOS FINANCIEROS Y OTROS NO OPERACIONALES".</w:t>
      </w:r>
    </w:p>
    <w:p w:rsidR="00143DF6" w:rsidRDefault="00143DF6" w:rsidP="00143DF6">
      <w:pPr>
        <w:spacing w:after="0" w:line="240" w:lineRule="auto"/>
        <w:jc w:val="both"/>
        <w:rPr>
          <w:rFonts w:ascii="Tahoma" w:eastAsia="Times New Roman" w:hAnsi="Tahoma" w:cs="Tahoma"/>
          <w:i/>
          <w:iCs/>
          <w:color w:val="000000"/>
          <w:sz w:val="14"/>
          <w:szCs w:val="14"/>
          <w:shd w:val="clear" w:color="auto" w:fill="FFFFFF"/>
          <w:lang w:eastAsia="es-ES"/>
        </w:rPr>
      </w:pPr>
      <w:r w:rsidRPr="000120C9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0120C9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4. En el casillero 902 sustitúyase el texto </w:t>
      </w:r>
      <w:r w:rsidRPr="000120C9">
        <w:rPr>
          <w:rFonts w:ascii="Tahoma" w:eastAsia="Times New Roman" w:hAnsi="Tahoma" w:cs="Tahoma"/>
          <w:i/>
          <w:iCs/>
          <w:color w:val="000000"/>
          <w:sz w:val="14"/>
          <w:szCs w:val="14"/>
          <w:shd w:val="clear" w:color="auto" w:fill="FFFFFF"/>
          <w:lang w:eastAsia="es-ES"/>
        </w:rPr>
        <w:t>"870-898" </w:t>
      </w:r>
      <w:r w:rsidRPr="000120C9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por </w:t>
      </w:r>
      <w:r w:rsidRPr="000120C9">
        <w:rPr>
          <w:rFonts w:ascii="Tahoma" w:eastAsia="Times New Roman" w:hAnsi="Tahoma" w:cs="Tahoma"/>
          <w:i/>
          <w:iCs/>
          <w:color w:val="000000"/>
          <w:sz w:val="14"/>
          <w:szCs w:val="14"/>
          <w:shd w:val="clear" w:color="auto" w:fill="FFFFFF"/>
          <w:lang w:eastAsia="es-ES"/>
        </w:rPr>
        <w:t>"869-898"</w:t>
      </w:r>
    </w:p>
    <w:p w:rsidR="00143DF6" w:rsidRPr="000120C9" w:rsidRDefault="00143DF6" w:rsidP="00143DF6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  <w:r w:rsidRPr="000120C9">
        <w:rPr>
          <w:rFonts w:ascii="Tahoma" w:eastAsia="Times New Roman" w:hAnsi="Tahoma" w:cs="Tahoma"/>
          <w:color w:val="000000"/>
          <w:sz w:val="14"/>
          <w:szCs w:val="14"/>
          <w:lang w:eastAsia="es-ES"/>
        </w:rPr>
        <w:br/>
      </w:r>
      <w:r w:rsidRPr="000120C9">
        <w:rPr>
          <w:rFonts w:ascii="Tahoma" w:eastAsia="Times New Roman" w:hAnsi="Tahoma" w:cs="Tahoma"/>
          <w:b/>
          <w:bCs/>
          <w:color w:val="000000"/>
          <w:sz w:val="14"/>
          <w:szCs w:val="14"/>
          <w:shd w:val="clear" w:color="auto" w:fill="FFFFFF"/>
          <w:lang w:eastAsia="es-ES"/>
        </w:rPr>
        <w:t>Disposición Final.- </w:t>
      </w:r>
      <w:r w:rsidRPr="000120C9"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t>La presente resolución entrará en vigencia a partir del día siguiente a su publicación en el Registro Oficial.</w:t>
      </w:r>
    </w:p>
    <w:p w:rsidR="00143DF6" w:rsidRPr="000120C9" w:rsidRDefault="00143DF6" w:rsidP="00143DF6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</w:p>
    <w:p w:rsidR="00143DF6" w:rsidRPr="000120C9" w:rsidRDefault="00143DF6" w:rsidP="00143DF6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  <w:sectPr w:rsidR="00143DF6" w:rsidRPr="000120C9" w:rsidSect="00D1320E">
          <w:type w:val="continuous"/>
          <w:pgSz w:w="11906" w:h="16838"/>
          <w:pgMar w:top="1134" w:right="849" w:bottom="567" w:left="1276" w:header="708" w:footer="563" w:gutter="0"/>
          <w:cols w:num="2" w:space="425"/>
          <w:docGrid w:linePitch="360"/>
        </w:sectPr>
      </w:pPr>
    </w:p>
    <w:p w:rsidR="00143DF6" w:rsidRPr="000120C9" w:rsidRDefault="00143DF6" w:rsidP="00143DF6">
      <w:pPr>
        <w:spacing w:after="0" w:line="240" w:lineRule="auto"/>
        <w:jc w:val="both"/>
        <w:rPr>
          <w:rFonts w:ascii="Tahoma" w:eastAsia="Times New Roman" w:hAnsi="Tahoma" w:cs="Tahoma"/>
          <w:color w:val="000000"/>
          <w:sz w:val="14"/>
          <w:szCs w:val="14"/>
          <w:shd w:val="clear" w:color="auto" w:fill="FFFFFF"/>
          <w:lang w:eastAsia="es-ES"/>
        </w:rPr>
      </w:pPr>
    </w:p>
    <w:p w:rsidR="00143DF6" w:rsidRPr="000120C9" w:rsidRDefault="00143DF6" w:rsidP="00143DF6">
      <w:pPr>
        <w:rPr>
          <w:rFonts w:ascii="Tahoma" w:eastAsia="Times New Roman" w:hAnsi="Tahoma" w:cs="Tahoma"/>
          <w:b/>
          <w:bCs/>
          <w:color w:val="FFFFFF" w:themeColor="background1"/>
          <w:sz w:val="14"/>
          <w:szCs w:val="14"/>
          <w:lang w:eastAsia="es-ES"/>
        </w:rPr>
      </w:pPr>
    </w:p>
    <w:p w:rsidR="008E49C1" w:rsidRDefault="00143DF6"/>
    <w:sectPr w:rsidR="008E49C1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3DF8" w:rsidRDefault="00143DF6" w:rsidP="00A022A6">
    <w:pPr>
      <w:pStyle w:val="Piedepgina"/>
    </w:pPr>
    <w:r>
      <w:rPr>
        <w:noProof/>
        <w:lang w:val="es-EC" w:eastAsia="es-EC"/>
      </w:rPr>
      <mc:AlternateContent>
        <mc:Choice Requires="wps">
          <w:drawing>
            <wp:anchor distT="0" distB="0" distL="114300" distR="114300" simplePos="0" relativeHeight="251661312" behindDoc="0" locked="0" layoutInCell="0" allowOverlap="1" wp14:anchorId="5F41A65B" wp14:editId="7497DF6D">
              <wp:simplePos x="0" y="0"/>
              <wp:positionH relativeFrom="rightMargin">
                <wp:align>center</wp:align>
              </wp:positionH>
              <wp:positionV relativeFrom="margin">
                <wp:align>bottom</wp:align>
              </wp:positionV>
              <wp:extent cx="511175" cy="6172200"/>
              <wp:effectExtent l="0" t="0" r="0" b="0"/>
              <wp:wrapNone/>
              <wp:docPr id="255" name="Rectangle 1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11175" cy="6172200"/>
                      </a:xfrm>
                      <a:prstGeom prst="rect">
                        <a:avLst/>
                      </a:prstGeom>
                      <a:noFill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53640926-AAD7-44D8-BBD7-CCE9431645EC}">
                          <a14:shadowObscured xmlns:a14="http://schemas.microsoft.com/office/drawing/2010/main" val="1"/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color w:val="0070C0"/>
                              <w:spacing w:val="60"/>
                            </w:rPr>
                            <w:alias w:val="Date"/>
                            <w:id w:val="108323665"/>
                            <w:showingPlcHdr/>
                            <w:dataBinding w:prefixMappings="xmlns:ns0='http://schemas.microsoft.com/office/2006/coverPageProps'" w:xpath="/ns0:CoverPageProperties[1]/ns0:PublishDate[1]" w:storeItemID="{55AF091B-3C7A-41E3-B477-F2FDAA23CFDA}"/>
                            <w:date>
                              <w:dateFormat w:val="MMMM d, yyyy"/>
                              <w:lid w:val="en-US"/>
                              <w:storeMappedDataAs w:val="dateTime"/>
                              <w:calendar w:val="gregorian"/>
                            </w:date>
                          </w:sdtPr>
                          <w:sdtEndPr/>
                          <w:sdtContent>
                            <w:p w:rsidR="00BF3DF8" w:rsidRPr="00A75150" w:rsidRDefault="00143DF6" w:rsidP="00A022A6">
                              <w:pPr>
                                <w:rPr>
                                  <w:color w:val="0070C0"/>
                                  <w:spacing w:val="60"/>
                                </w:rPr>
                              </w:pPr>
                              <w:r>
                                <w:rPr>
                                  <w:color w:val="0070C0"/>
                                  <w:spacing w:val="60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vert270" wrap="square" lIns="91440" tIns="45720" rIns="91440" bIns="45720" anchor="ctr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75000</wp14:pctHeight>
              </wp14:sizeRelV>
            </wp:anchor>
          </w:drawing>
        </mc:Choice>
        <mc:Fallback>
          <w:pict>
            <v:rect id="Rectangle 173" o:spid="_x0000_s1026" style="position:absolute;margin-left:0;margin-top:0;width:40.25pt;height:486pt;z-index:251661312;visibility:visible;mso-wrap-style:square;mso-width-percent:0;mso-height-percent:750;mso-wrap-distance-left:9pt;mso-wrap-distance-top:0;mso-wrap-distance-right:9pt;mso-wrap-distance-bottom:0;mso-position-horizontal:center;mso-position-horizontal-relative:right-margin-area;mso-position-vertical:bottom;mso-position-vertical-relative:margin;mso-width-percent:0;mso-height-percent:75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" o:allowincell="f" filled="f" stroked="f">
              <v:textbox style="layout-flow:vertical;mso-layout-flow-alt:bottom-to-top;mso-fit-shape-to-text:t">
                <w:txbxContent>
                  <w:sdt>
                    <w:sdtPr>
                      <w:rPr>
                        <w:color w:val="0070C0"/>
                        <w:spacing w:val="60"/>
                      </w:rPr>
                      <w:alias w:val="Date"/>
                      <w:id w:val="108323665"/>
                      <w:showingPlcHdr/>
                      <w:dataBinding w:prefixMappings="xmlns:ns0='http://schemas.microsoft.com/office/2006/coverPageProps'" w:xpath="/ns0:CoverPageProperties[1]/ns0:PublishDate[1]" w:storeItemID="{55AF091B-3C7A-41E3-B477-F2FDAA23CFDA}"/>
                      <w:date>
                        <w:dateFormat w:val="MMMM d, yyyy"/>
                        <w:lid w:val="en-US"/>
                        <w:storeMappedDataAs w:val="dateTime"/>
                        <w:calendar w:val="gregorian"/>
                      </w:date>
                    </w:sdtPr>
                    <w:sdtEndPr/>
                    <w:sdtContent>
                      <w:p w:rsidR="00BF3DF8" w:rsidRPr="00A75150" w:rsidRDefault="00143DF6" w:rsidP="00A022A6">
                        <w:pPr>
                          <w:rPr>
                            <w:color w:val="0070C0"/>
                            <w:spacing w:val="60"/>
                          </w:rPr>
                        </w:pPr>
                        <w:r>
                          <w:rPr>
                            <w:color w:val="0070C0"/>
                            <w:spacing w:val="60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margin"/>
            </v:rect>
          </w:pict>
        </mc:Fallback>
      </mc:AlternateContent>
    </w:r>
    <w:r>
      <w:rPr>
        <w:noProof/>
        <w:lang w:val="es-EC" w:eastAsia="es-EC"/>
      </w:rPr>
      <mc:AlternateContent>
        <mc:Choice Requires="wpg">
          <w:drawing>
            <wp:anchor distT="0" distB="0" distL="114300" distR="114300" simplePos="0" relativeHeight="251660288" behindDoc="0" locked="0" layoutInCell="0" allowOverlap="1" wp14:anchorId="01635ECC" wp14:editId="5C3877DF">
              <wp:simplePos x="0" y="0"/>
              <wp:positionH relativeFrom="rightMargin">
                <wp:align>center</wp:align>
              </wp:positionH>
              <wp:positionV relativeFrom="bottomMargin">
                <wp:align>center</wp:align>
              </wp:positionV>
              <wp:extent cx="457200" cy="301752"/>
              <wp:effectExtent l="1587" t="0" r="1588" b="1587"/>
              <wp:wrapNone/>
              <wp:docPr id="251" name="Group 1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 rot="5400000">
                        <a:off x="0" y="0"/>
                        <a:ext cx="457200" cy="301752"/>
                        <a:chOff x="10217" y="9410"/>
                        <a:chExt cx="1566" cy="590"/>
                      </a:xfrm>
                      <a:gradFill flip="none" rotWithShape="1">
                        <a:gsLst>
                          <a:gs pos="0">
                            <a:schemeClr val="tx2">
                              <a:lumMod val="60000"/>
                              <a:lumOff val="40000"/>
                              <a:shade val="30000"/>
                              <a:satMod val="115000"/>
                            </a:schemeClr>
                          </a:gs>
                          <a:gs pos="50000">
                            <a:schemeClr val="tx2">
                              <a:lumMod val="60000"/>
                              <a:lumOff val="40000"/>
                              <a:shade val="67500"/>
                              <a:satMod val="115000"/>
                            </a:schemeClr>
                          </a:gs>
                          <a:gs pos="100000">
                            <a:schemeClr val="tx2">
                              <a:lumMod val="60000"/>
                              <a:lumOff val="40000"/>
                              <a:shade val="100000"/>
                              <a:satMod val="115000"/>
                            </a:schemeClr>
                          </a:gs>
                        </a:gsLst>
                        <a:lin ang="10800000" scaled="1"/>
                        <a:tileRect/>
                      </a:gradFill>
                    </wpg:grpSpPr>
                    <wps:wsp>
                      <wps:cNvPr id="252" name="AutoShape 170"/>
                      <wps:cNvSpPr>
                        <a:spLocks noChangeArrowheads="1"/>
                      </wps:cNvSpPr>
                      <wps:spPr bwMode="auto">
                        <a:xfrm>
                          <a:off x="11101" y="9410"/>
                          <a:ext cx="682" cy="590"/>
                        </a:xfrm>
                        <a:prstGeom prst="chevron">
                          <a:avLst>
                            <a:gd name="adj" fmla="val 59811"/>
                          </a:avLst>
                        </a:prstGeom>
                        <a:grpFill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3" name="AutoShape 171"/>
                      <wps:cNvSpPr>
                        <a:spLocks noChangeArrowheads="1"/>
                      </wps:cNvSpPr>
                      <wps:spPr bwMode="auto">
                        <a:xfrm>
                          <a:off x="10659" y="9410"/>
                          <a:ext cx="682" cy="590"/>
                        </a:xfrm>
                        <a:prstGeom prst="chevron">
                          <a:avLst>
                            <a:gd name="adj" fmla="val 61666"/>
                          </a:avLst>
                        </a:prstGeom>
                        <a:grpFill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4" name="AutoShape 172"/>
                      <wps:cNvSpPr>
                        <a:spLocks noChangeArrowheads="1"/>
                      </wps:cNvSpPr>
                      <wps:spPr bwMode="auto">
                        <a:xfrm>
                          <a:off x="10217" y="9410"/>
                          <a:ext cx="682" cy="590"/>
                        </a:xfrm>
                        <a:prstGeom prst="chevron">
                          <a:avLst>
                            <a:gd name="adj" fmla="val 63521"/>
                          </a:avLst>
                        </a:prstGeom>
                        <a:grpFill/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53640926-AAD7-44D8-BBD7-CCE9431645EC}">
                            <a14:shadowObscured xmlns:a14="http://schemas.microsoft.com/office/drawing/2010/main" val="1"/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69" o:spid="_x0000_s1026" style="position:absolute;margin-left:0;margin-top:0;width:36pt;height:23.75pt;rotation:90;z-index:251660288;mso-position-horizontal:center;mso-position-horizontal-relative:right-margin-area;mso-position-vertical:center;mso-position-vertical-relative:bottom-margin-area" coordorigin="10217,9410" coordsize="1566,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" o:allowincell="f">
              <v:shapetype id="_x0000_t55" coordsize="21600,21600" o:spt="55" adj="16200" path="m@0,l,0@1,10800,,21600@0,21600,21600,10800xe">
                <v:stroke joinstyle="miter"/>
                <v:formulas>
                  <v:f eqn="val #0"/>
                  <v:f eqn="sum 21600 0 @0"/>
                  <v:f eqn="prod #0 1 2"/>
                </v:formulas>
                <v:path o:connecttype="custom" o:connectlocs="@2,0;@1,10800;@2,21600;21600,10800" o:connectangles="270,180,90,0" textboxrect="0,0,10800,21600;0,0,16200,21600;0,0,21600,21600"/>
                <v:handles>
                  <v:h position="#0,topLeft" xrange="0,21600"/>
                </v:handles>
              </v:shapetype>
              <v:shape id="AutoShape 170" o:spid="_x0000_s1027" type="#_x0000_t55" style="position:absolute;left:11101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8tXpMYA&#10;AADcAAAADwAAAGRycy9kb3ducmV2LnhtbESPQWvCQBSE7wX/w/KEXkQ3TWmRNBsRacWLiFqkx0f2&#10;NQnNvg27G4399W5B6HGYmW+YfDGYVpzJ+caygqdZAoK4tLrhSsHn8WM6B+EDssbWMim4kodFMXrI&#10;MdP2wns6H0IlIoR9hgrqELpMSl/WZNDPbEccvW/rDIYoXSW1w0uEm1amSfIqDTYcF2rsaFVT+XPo&#10;jYL+6r/6frv+fd/t/OT47E7paTBKPY6H5RuIQEP4D9/bG60gfUnh70w8ArK4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38tXpMYAAADcAAAADwAAAAAAAAAAAAAAAACYAgAAZHJz&#10;L2Rvd25yZXYueG1sUEsFBgAAAAAEAAQA9QAAAIsDAAAAAA==&#10;" adj="10424" filled="f" stroked="f" strokecolor="white"/>
              <v:shape id="AutoShape 171" o:spid="_x0000_s1028" type="#_x0000_t55" style="position:absolute;left:10659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u/SMQA&#10;AADcAAAADwAAAGRycy9kb3ducmV2LnhtbESPwWrDMBBE74X+g9hCb43slIbiRAmhkGDaS+L0AxZr&#10;Y5lYK9VSYvvvq0Ihx2Fm3jCrzWg7caM+tI4V5LMMBHHtdMuNgu/T7uUdRIjIGjvHpGCiAJv148MK&#10;C+0GPtKtio1IEA4FKjAx+kLKUBuyGGbOEyfv7HqLMcm+kbrHIcFtJ+dZtpAWW04LBj19GKov1dUq&#10;8J+7fP81VPV1Ovhm/DFlvp9KpZ6fxu0SRKQx3sP/7VIrmL+9wt+ZdATk+h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Erv0jEAAAA3AAAAA8AAAAAAAAAAAAAAAAAmAIAAGRycy9k&#10;b3ducmV2LnhtbFBLBQYAAAAABAAEAPUAAACJAwAAAAA=&#10;" adj="10077" filled="f" stroked="f" strokecolor="white"/>
              <v:shape id="AutoShape 172" o:spid="_x0000_s1029" type="#_x0000_t55" style="position:absolute;left:10217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1mcMYA&#10;AADcAAAADwAAAGRycy9kb3ducmV2LnhtbESPQWvCQBSE74X+h+UJvRTdGK1odJVSKAgWqdGD3h7Z&#10;Z5KafRt2V03/fbdQ6HGYmW+YxaozjbiR87VlBcNBAoK4sLrmUsFh/96fgvABWWNjmRR8k4fV8vFh&#10;gZm2d97RLQ+liBD2GSqoQmgzKX1RkUE/sC1x9M7WGQxRulJqh/cIN41Mk2QiDdYcFyps6a2i4pJf&#10;jYLx9uOkN6Pnr5TlKN+49BNnx1Kpp173OgcRqAv/4b/2WitIX8bweyYeAbn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D1mcMYAAADcAAAADwAAAAAAAAAAAAAAAACYAgAAZHJz&#10;L2Rvd25yZXYueG1sUEsFBgAAAAAEAAQA9QAAAIsDAAAAAA==&#10;" adj="9730" filled="f" stroked="f" strokecolor="white"/>
              <w10:wrap anchorx="margin" anchory="margin"/>
            </v:group>
          </w:pict>
        </mc:Fallback>
      </mc:AlternateContent>
    </w:r>
  </w:p>
  <w:p w:rsidR="00BF3DF8" w:rsidRDefault="00143DF6">
    <w:pPr>
      <w:pStyle w:val="Piedepgina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51842942"/>
      <w:docPartObj>
        <w:docPartGallery w:val="Page Numbers (Top of Page)"/>
        <w:docPartUnique/>
      </w:docPartObj>
    </w:sdtPr>
    <w:sdtEndPr>
      <w:rPr>
        <w:noProof/>
      </w:rPr>
    </w:sdtEndPr>
    <w:sdtContent>
      <w:p w:rsidR="00BF3DF8" w:rsidRDefault="00143DF6" w:rsidP="00A022A6">
        <w:pPr>
          <w:pStyle w:val="Encabezado"/>
        </w:pPr>
        <w:r w:rsidRPr="00047711">
          <w:rPr>
            <w:noProof/>
            <w:color w:val="0070C0"/>
            <w:sz w:val="28"/>
            <w:lang w:val="es-EC" w:eastAsia="es-EC"/>
          </w:rPr>
          <mc:AlternateContent>
            <mc:Choice Requires="wpg">
              <w:drawing>
                <wp:anchor distT="0" distB="0" distL="114300" distR="114300" simplePos="0" relativeHeight="251659264" behindDoc="0" locked="0" layoutInCell="0" allowOverlap="1" wp14:anchorId="65F8131B" wp14:editId="7901E66B">
                  <wp:simplePos x="0" y="0"/>
                  <wp:positionH relativeFrom="rightMargin">
                    <wp:posOffset>-5961060</wp:posOffset>
                  </wp:positionH>
                  <wp:positionV relativeFrom="bottomMargin">
                    <wp:posOffset>-9378909</wp:posOffset>
                  </wp:positionV>
                  <wp:extent cx="457200" cy="301625"/>
                  <wp:effectExtent l="1587" t="0" r="1588" b="1587"/>
                  <wp:wrapNone/>
                  <wp:docPr id="22" name="Group 1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 rot="16200000" flipH="1">
                            <a:off x="0" y="0"/>
                            <a:ext cx="457200" cy="301625"/>
                            <a:chOff x="10217" y="9410"/>
                            <a:chExt cx="1566" cy="590"/>
                          </a:xfrm>
                          <a:gradFill flip="none" rotWithShape="1">
                            <a:gsLst>
                              <a:gs pos="0">
                                <a:schemeClr val="tx2">
                                  <a:lumMod val="60000"/>
                                  <a:lumOff val="40000"/>
                                  <a:shade val="30000"/>
                                  <a:satMod val="115000"/>
                                </a:schemeClr>
                              </a:gs>
                              <a:gs pos="50000">
                                <a:schemeClr val="tx2">
                                  <a:lumMod val="60000"/>
                                  <a:lumOff val="40000"/>
                                  <a:shade val="67500"/>
                                  <a:satMod val="115000"/>
                                </a:schemeClr>
                              </a:gs>
                              <a:gs pos="100000">
                                <a:schemeClr val="tx2">
                                  <a:lumMod val="60000"/>
                                  <a:lumOff val="40000"/>
                                  <a:shade val="100000"/>
                                  <a:satMod val="115000"/>
                                </a:schemeClr>
                              </a:gs>
                            </a:gsLst>
                            <a:lin ang="10800000" scaled="1"/>
                            <a:tileRect/>
                          </a:gradFill>
                        </wpg:grpSpPr>
                        <wps:wsp>
                          <wps:cNvPr id="23" name="AutoShape 17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01" y="9410"/>
                              <a:ext cx="682" cy="590"/>
                            </a:xfrm>
                            <a:prstGeom prst="chevron">
                              <a:avLst>
                                <a:gd name="adj" fmla="val 59811"/>
                              </a:avLst>
                            </a:prstGeom>
                            <a:grpFill/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53640926-AAD7-44D8-BBD7-CCE9431645EC}">
                                <a14:shadowObscured xmlns:a14="http://schemas.microsoft.com/office/drawing/2010/main" val="1"/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4" name="AutoShape 171"/>
                          <wps:cNvSpPr>
                            <a:spLocks noChangeArrowheads="1"/>
                          </wps:cNvSpPr>
                          <wps:spPr bwMode="auto">
                            <a:xfrm>
                              <a:off x="10659" y="9410"/>
                              <a:ext cx="682" cy="590"/>
                            </a:xfrm>
                            <a:prstGeom prst="chevron">
                              <a:avLst>
                                <a:gd name="adj" fmla="val 61666"/>
                              </a:avLst>
                            </a:prstGeom>
                            <a:grpFill/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53640926-AAD7-44D8-BBD7-CCE9431645EC}">
                                <a14:shadowObscured xmlns:a14="http://schemas.microsoft.com/office/drawing/2010/main" val="1"/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5" name="AutoShape 172"/>
                          <wps:cNvSpPr>
                            <a:spLocks noChangeArrowheads="1"/>
                          </wps:cNvSpPr>
                          <wps:spPr bwMode="auto">
                            <a:xfrm>
                              <a:off x="10217" y="9410"/>
                              <a:ext cx="682" cy="590"/>
                            </a:xfrm>
                            <a:prstGeom prst="chevron">
                              <a:avLst>
                                <a:gd name="adj" fmla="val 63521"/>
                              </a:avLst>
                            </a:prstGeom>
                            <a:grpFill/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FFFFFF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  <a:ext uri="{53640926-AAD7-44D8-BBD7-CCE9431645EC}">
                                <a14:shadowObscured xmlns:a14="http://schemas.microsoft.com/office/drawing/2010/main" val="1"/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id="Group 169" o:spid="_x0000_s1026" style="position:absolute;margin-left:-469.35pt;margin-top:-738.5pt;width:36pt;height:23.75pt;rotation:90;flip:x;z-index:251659264;mso-position-horizontal-relative:right-margin-area;mso-position-vertical-relative:bottom-margin-area" coordorigin="10217,9410" coordsize="1566,5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" o:allowincell="f">
                  <v:shapetype id="_x0000_t55" coordsize="21600,21600" o:spt="55" adj="16200" path="m@0,l,0@1,10800,,21600@0,21600,21600,10800xe">
                    <v:stroke joinstyle="miter"/>
                    <v:formulas>
                      <v:f eqn="val #0"/>
                      <v:f eqn="sum 21600 0 @0"/>
                      <v:f eqn="prod #0 1 2"/>
                    </v:formulas>
                    <v:path o:connecttype="custom" o:connectlocs="@2,0;@1,10800;@2,21600;21600,10800" o:connectangles="270,180,90,0" textboxrect="0,0,10800,21600;0,0,16200,21600;0,0,21600,21600"/>
                    <v:handles>
                      <v:h position="#0,topLeft" xrange="0,21600"/>
                    </v:handles>
                  </v:shapetype>
                  <v:shape id="AutoShape 170" o:spid="_x0000_s1027" type="#_x0000_t55" style="position:absolute;left:11101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wyAsQA&#10;AADbAAAADwAAAGRycy9kb3ducmV2LnhtbESPQWvCQBSE70L/w/IKvYhujCAlukoptXgR0RTx+Mg+&#10;k9Ds27C70eivdwsFj8PMfMMsVr1pxIWcry0rmIwTEMSF1TWXCn7y9egdhA/IGhvLpOBGHlbLl8EC&#10;M22vvKfLIZQiQthnqKAKoc2k9EVFBv3YtsTRO1tnMETpSqkdXiPcNDJNkpk0WHNcqLClz4qK30Nn&#10;FHQ3f+q67ff9a7fzw3zqjumxN0q9vfYfcxCB+vAM/7c3WkE6hb8v8QfI5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HcMgLEAAAA2wAAAA8AAAAAAAAAAAAAAAAAmAIAAGRycy9k&#10;b3ducmV2LnhtbFBLBQYAAAAABAAEAPUAAACJAwAAAAA=&#10;" adj="10424" filled="f" stroked="f" strokecolor="white"/>
                  <v:shape id="AutoShape 171" o:spid="_x0000_s1028" type="#_x0000_t55" style="position:absolute;left:10659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7I2PMMA&#10;AADbAAAADwAAAGRycy9kb3ducmV2LnhtbESPUWvCMBSF3wf7D+EO9jbTioh0RpGBUtyLdvsBl+au&#10;KTY3WRNt+++XgeDj4ZzzHc56O9pO3KgPrWMF+SwDQVw73XKj4Ptr/7YCESKyxs4xKZgowHbz/LTG&#10;QruBz3SrYiMShEOBCkyMvpAy1IYshpnzxMn7cb3FmGTfSN3jkOC2k/MsW0qLLacFg54+DNWX6moV&#10;+OM+P3wOVX2dTr4Zf02ZH6ZSqdeXcfcOItIYH+F7u9QK5gv4/5J+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7I2PMMAAADbAAAADwAAAAAAAAAAAAAAAACYAgAAZHJzL2Rv&#10;d25yZXYueG1sUEsFBgAAAAAEAAQA9QAAAIgDAAAAAA==&#10;" adj="10077" filled="f" stroked="f" strokecolor="white"/>
                  <v:shape id="AutoShape 172" o:spid="_x0000_s1029" type="#_x0000_t55" style="position:absolute;left:10217;top:9410;width:682;height:59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QZ8j8UA&#10;AADbAAAADwAAAGRycy9kb3ducmV2LnhtbESPQWvCQBSE74L/YXlCL0U3xlZs6ipSEAqK2OjB3h7Z&#10;1yRt9m3YXTX9926h4HGYmW+Y+bIzjbiQ87VlBeNRAoK4sLrmUsHxsB7OQPiArLGxTAp+ycNy0e/N&#10;MdP2yh90yUMpIoR9hgqqENpMSl9UZNCPbEscvS/rDIYoXSm1w2uEm0amSTKVBmuOCxW29FZR8ZOf&#10;jYKn3fZTbyaP3ynLSb5x6R5fTqVSD4Nu9QoiUBfu4f/2u1aQPsPfl/gD5OIG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BnyPxQAAANsAAAAPAAAAAAAAAAAAAAAAAJgCAABkcnMv&#10;ZG93bnJldi54bWxQSwUGAAAAAAQABAD1AAAAigMAAAAA&#10;" adj="9730" filled="f" stroked="f" strokecolor="white"/>
                  <w10:wrap anchorx="margin" anchory="margin"/>
                </v:group>
              </w:pict>
            </mc:Fallback>
          </mc:AlternateContent>
        </w:r>
        <w:r w:rsidRPr="00047711">
          <w:rPr>
            <w:color w:val="0070C0"/>
            <w:sz w:val="28"/>
          </w:rPr>
          <w:fldChar w:fldCharType="begin"/>
        </w:r>
        <w:r w:rsidRPr="00047711">
          <w:rPr>
            <w:color w:val="0070C0"/>
            <w:sz w:val="28"/>
          </w:rPr>
          <w:instrText xml:space="preserve"> PAGE   \* MERGEFORMAT </w:instrText>
        </w:r>
        <w:r w:rsidRPr="00047711">
          <w:rPr>
            <w:color w:val="0070C0"/>
            <w:sz w:val="28"/>
          </w:rPr>
          <w:fldChar w:fldCharType="separate"/>
        </w:r>
        <w:r>
          <w:rPr>
            <w:noProof/>
            <w:color w:val="0070C0"/>
            <w:sz w:val="28"/>
          </w:rPr>
          <w:t>1</w:t>
        </w:r>
        <w:r w:rsidRPr="00047711">
          <w:rPr>
            <w:noProof/>
            <w:color w:val="0070C0"/>
            <w:sz w:val="28"/>
          </w:rPr>
          <w:fldChar w:fldCharType="end"/>
        </w:r>
        <w:r w:rsidRPr="00047711">
          <w:rPr>
            <w:noProof/>
            <w:color w:val="0070C0"/>
            <w:sz w:val="28"/>
          </w:rPr>
          <w:t xml:space="preserve">   </w:t>
        </w:r>
      </w:p>
    </w:sdtContent>
  </w:sdt>
  <w:p w:rsidR="00BF3DF8" w:rsidRDefault="00143DF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9pt;height:9pt" o:bullet="t">
        <v:imagedata r:id="rId1" o:title="BD15059_"/>
      </v:shape>
    </w:pict>
  </w:numPicBullet>
  <w:abstractNum w:abstractNumId="0">
    <w:nsid w:val="0D570392"/>
    <w:multiLevelType w:val="hybridMultilevel"/>
    <w:tmpl w:val="2DC8B26E"/>
    <w:lvl w:ilvl="0" w:tplc="6EDA0EC2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DF6"/>
    <w:rsid w:val="00143DF6"/>
    <w:rsid w:val="00323ADC"/>
    <w:rsid w:val="00646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C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DF6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43DF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43D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3DF6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43D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3DF6"/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43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3DF6"/>
    <w:rPr>
      <w:rFonts w:ascii="Tahoma" w:hAnsi="Tahoma" w:cs="Tahoma"/>
      <w:sz w:val="16"/>
      <w:szCs w:val="16"/>
      <w:lang w:val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43DF6"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43DF6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43D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43DF6"/>
    <w:rPr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43DF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43DF6"/>
    <w:rPr>
      <w:lang w:val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43D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43DF6"/>
    <w:rPr>
      <w:rFonts w:ascii="Tahoma" w:hAnsi="Tahoma" w:cs="Tahoma"/>
      <w:sz w:val="16"/>
      <w:szCs w:val="16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javascript:Vincular('924962')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231</Words>
  <Characters>1276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NILO</dc:creator>
  <cp:lastModifiedBy>NILO</cp:lastModifiedBy>
  <cp:revision>1</cp:revision>
  <dcterms:created xsi:type="dcterms:W3CDTF">2016-03-24T17:31:00Z</dcterms:created>
  <dcterms:modified xsi:type="dcterms:W3CDTF">2016-03-24T17:32:00Z</dcterms:modified>
</cp:coreProperties>
</file>